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9"/>
        <w:gridCol w:w="18"/>
        <w:gridCol w:w="9318"/>
        <w:gridCol w:w="71"/>
      </w:tblGrid>
      <w:tr w:rsidR="00EC79CE">
        <w:trPr>
          <w:trHeight w:val="9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3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  <w:tr w:rsidR="002C12F7" w:rsidTr="002C12F7">
        <w:trPr>
          <w:trHeight w:val="58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5"/>
            </w:tblGrid>
            <w:tr w:rsidR="00EC79CE">
              <w:trPr>
                <w:trHeight w:val="502"/>
              </w:trPr>
              <w:tc>
                <w:tcPr>
                  <w:tcW w:w="9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CE" w:rsidRDefault="00A55ED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36"/>
                    </w:rPr>
                    <w:t>Beskæftigelses-, dagpenge-, syge-, barsels- og</w:t>
                  </w:r>
                </w:p>
              </w:tc>
            </w:tr>
          </w:tbl>
          <w:p w:rsidR="00EC79CE" w:rsidRDefault="00EC79CE">
            <w:pPr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  <w:tr w:rsidR="00EC79CE">
        <w:trPr>
          <w:trHeight w:val="4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3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  <w:tr w:rsidR="002C12F7" w:rsidTr="002C12F7">
        <w:trPr>
          <w:trHeight w:val="58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5"/>
            </w:tblGrid>
            <w:tr w:rsidR="00EC79CE">
              <w:trPr>
                <w:trHeight w:val="502"/>
              </w:trPr>
              <w:tc>
                <w:tcPr>
                  <w:tcW w:w="9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CE" w:rsidRDefault="00A55ED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36"/>
                    </w:rPr>
                    <w:t>kontanthjælpsfrekvenser for færdiguddannede fra</w:t>
                  </w:r>
                </w:p>
              </w:tc>
            </w:tr>
          </w:tbl>
          <w:p w:rsidR="00EC79CE" w:rsidRDefault="00EC79CE">
            <w:pPr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  <w:tr w:rsidR="00EC79CE">
        <w:trPr>
          <w:trHeight w:val="4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3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  <w:tr w:rsidR="002C12F7" w:rsidTr="002C12F7">
        <w:trPr>
          <w:trHeight w:val="58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EC79CE">
              <w:trPr>
                <w:trHeight w:val="502"/>
              </w:trPr>
              <w:tc>
                <w:tcPr>
                  <w:tcW w:w="9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CE" w:rsidRDefault="00A55ED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36"/>
                    </w:rPr>
                    <w:t>erhvervsuddannelserne</w:t>
                  </w:r>
                </w:p>
              </w:tc>
            </w:tr>
          </w:tbl>
          <w:p w:rsidR="00EC79CE" w:rsidRDefault="00EC79CE">
            <w:pPr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  <w:tr w:rsidR="00EC79CE">
        <w:trPr>
          <w:trHeight w:val="20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3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  <w:tr w:rsidR="00EC79CE">
        <w:trPr>
          <w:trHeight w:val="1180"/>
        </w:trPr>
        <w:tc>
          <w:tcPr>
            <w:tcW w:w="6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31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8"/>
            </w:tblGrid>
            <w:tr w:rsidR="00EC79CE">
              <w:trPr>
                <w:trHeight w:val="1102"/>
              </w:trPr>
              <w:tc>
                <w:tcPr>
                  <w:tcW w:w="9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9CE" w:rsidRDefault="00A55E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 xml:space="preserve">Rapporten viser beskæftigelses-, dagpenge-, syge-, barsels- og kontanthjælpsfrekvenser for færdiguddannede elever fra erhvervsuddannelserne. 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  <w:t>Frekvenserne opgøres pr. uddannelse og institution. Institutionsoplysninger knytter sig til den institution, hvor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 xml:space="preserve"> eleven senest er afgangsmeldt på den pågældende uddannelse.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  <w:t>Listen over institutioner indeholder kun de institutioner, som der foreligger data for i det valgte år. Parametre markeret med * indgår kun i udvalgte rapporter.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  <w:t xml:space="preserve">Rapporten viser data ud fra de 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parametre, som vælges i menuen på højre side. Bemærk: Når antallet af de valgte parametre er for stort til at vise i en figur, vises automatisk kun en tabel med data.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  <w:t>Diskretionerede celler markeres med bindestreg (-), mens uoplyste angives med &lt;?&gt;. Bemær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k, i rapporter om beskæftigelsesfrekvenser m.v. diskretioneres celler med under 15 observationer.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t>Om data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: Data om beskæftigelsesfrekvenser baserer sig på oplysninger fra ATP’s systemer. Læs mere i afsnittet ”Om data”.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</w:p>
              </w:tc>
            </w:tr>
          </w:tbl>
          <w:p w:rsidR="00EC79CE" w:rsidRDefault="00EC79CE">
            <w:pPr>
              <w:spacing w:after="0" w:line="240" w:lineRule="auto"/>
            </w:pPr>
          </w:p>
        </w:tc>
        <w:tc>
          <w:tcPr>
            <w:tcW w:w="71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</w:tbl>
    <w:p w:rsidR="00EC79CE" w:rsidRDefault="00A55ED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423"/>
        <w:gridCol w:w="69"/>
      </w:tblGrid>
      <w:tr w:rsidR="00EC79CE">
        <w:tc>
          <w:tcPr>
            <w:tcW w:w="77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9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3"/>
            </w:tblGrid>
            <w:tr w:rsidR="00EC79CE">
              <w:trPr>
                <w:trHeight w:val="41"/>
              </w:trPr>
              <w:tc>
                <w:tcPr>
                  <w:tcW w:w="9423" w:type="dxa"/>
                </w:tcPr>
                <w:p w:rsidR="00EC79CE" w:rsidRDefault="00A55ED7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"Uddannelse" \f C \l "1"</w:instrText>
                  </w:r>
                  <w:r>
                    <w:rPr>
                      <w:noProof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</w:tr>
            <w:tr w:rsidR="00EC79CE">
              <w:tc>
                <w:tcPr>
                  <w:tcW w:w="9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"/>
                    <w:gridCol w:w="16"/>
                    <w:gridCol w:w="8573"/>
                    <w:gridCol w:w="724"/>
                    <w:gridCol w:w="16"/>
                    <w:gridCol w:w="57"/>
                  </w:tblGrid>
                  <w:tr w:rsidR="00EC79CE">
                    <w:trPr>
                      <w:trHeight w:val="20"/>
                    </w:trPr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73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4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12F7" w:rsidTr="002C12F7"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3"/>
                        </w:tblGrid>
                        <w:tr w:rsidR="00EC79CE">
                          <w:trPr>
                            <w:trHeight w:val="348"/>
                          </w:trPr>
                          <w:tc>
                            <w:tcPr>
                              <w:tcW w:w="93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26"/>
                                </w:rPr>
                                <w:t>Beskæftigelses-, dagpenge-, syge-, barsels- og kontanthjælpsfrekvenser for færdiguddannede i kalenderåret efter færdiggjort uddannelse</w:t>
                              </w:r>
                            </w:p>
                          </w:tc>
                        </w:tr>
                      </w:tbl>
                      <w:p w:rsidR="00EC79CE" w:rsidRDefault="00EC79C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79CE">
                    <w:trPr>
                      <w:trHeight w:val="50"/>
                    </w:trPr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73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4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12F7" w:rsidTr="002C12F7"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"/>
                          <w:gridCol w:w="14"/>
                          <w:gridCol w:w="8497"/>
                          <w:gridCol w:w="46"/>
                        </w:tblGrid>
                        <w:tr w:rsidR="00EC79CE">
                          <w:tc>
                            <w:tcPr>
                              <w:tcW w:w="3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"/>
                              </w:tblGrid>
                              <w:tr w:rsidR="00EC79CE">
                                <w:trPr>
                                  <w:trHeight w:val="20"/>
                                </w:trPr>
                                <w:tc>
                                  <w:tcPr>
                                    <w:tcW w:w="3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C79CE" w:rsidRDefault="00EC79CE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C79CE" w:rsidRDefault="00EC79C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497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6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79CE">
                          <w:trPr>
                            <w:trHeight w:val="76"/>
                          </w:trPr>
                          <w:tc>
                            <w:tcPr>
                              <w:tcW w:w="31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497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6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79CE">
                          <w:tc>
                            <w:tcPr>
                              <w:tcW w:w="31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49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56"/>
                                <w:gridCol w:w="2735"/>
                                <w:gridCol w:w="2255"/>
                                <w:gridCol w:w="611"/>
                                <w:gridCol w:w="611"/>
                                <w:gridCol w:w="611"/>
                              </w:tblGrid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Institution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Uddannelse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Type 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2012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2014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TECHCOLLEGE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Anlægsgartner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Automatik- og procesuddannelsen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Bager og konditoruddannelsen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Beslagsmed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Byggemontagetekniker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0,33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Bygningsmaler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0,56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0,31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Cnc-teknikeruddannelsen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Cykel- og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lastRenderedPageBreak/>
                                      <w:t>motorcykeluddannelsen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lastRenderedPageBreak/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Data- og kommunikationsuddannelsen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0,19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Detailslagter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0,88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Digital media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Dyrepasser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Elektriker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0,16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Elektronik- og svagstrømsuddannelsen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Entreprenør- og landbrugsmaskinuddannelsen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Frisør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Frontline PC-supporter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Gastronom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83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Grafisk tekniker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Greenkeeper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0,81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Industrioperatør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0,88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0,91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0,93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Industriteknikeruddannelsen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Karrosseriuddannelsen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Kosmetiker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Landbrugsuddannelsen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0,06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Lastvognsmekaniker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Mediegrafiker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0,42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0,41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Mekaniker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0,8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Murer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0,54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0,31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Personvognsmekaniker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59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0,19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Produktør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Receptionist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0,16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Smedeuddannelsen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54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Tandklinikassistent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0,29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Teknisk designer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Tjener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0,78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0,14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Træfagenes byggeuddannelse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0,77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VVS-energiuddannelsen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0,66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0,64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0,72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0,09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0,11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Værktøjsuddannelsen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 w:val="restart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Web-integrator</w:t>
                                    </w: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Antal færdiguddannede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Beskæftigelsesfrekvens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0,27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0,22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0,19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Dagpengefrekvens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0,35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0,4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0,41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nil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Syge-/barselsfrekvens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0,03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0,01</w:t>
                                    </w:r>
                                  </w:p>
                                </w:tc>
                              </w:tr>
                              <w:tr w:rsidR="00EC79CE">
                                <w:trPr>
                                  <w:trHeight w:val="262"/>
                                </w:trPr>
                                <w:tc>
                                  <w:tcPr>
                                    <w:tcW w:w="1942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vMerge/>
                                    <w:tcBorders>
                                      <w:top w:val="nil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EC79C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46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Kontanthjælpsfrekvens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89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79CE" w:rsidRDefault="00A55E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C79CE" w:rsidRDefault="00EC79C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6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79CE">
                          <w:trPr>
                            <w:trHeight w:val="30"/>
                          </w:trPr>
                          <w:tc>
                            <w:tcPr>
                              <w:tcW w:w="31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497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6" w:type="dxa"/>
                            </w:tcPr>
                            <w:p w:rsidR="00EC79CE" w:rsidRDefault="00EC79C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79CE" w:rsidRDefault="00EC79C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24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79CE">
                    <w:trPr>
                      <w:trHeight w:val="191"/>
                    </w:trPr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73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4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12F7" w:rsidTr="002C12F7"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16"/>
                          <w:gridCol w:w="6879"/>
                        </w:tblGrid>
                        <w:tr w:rsidR="002C12F7" w:rsidTr="002C12F7">
                          <w:trPr>
                            <w:trHeight w:val="205"/>
                          </w:trPr>
                          <w:tc>
                            <w:tcPr>
                              <w:tcW w:w="2417" w:type="dxa"/>
                              <w:gridSpan w:val="2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000000"/>
                                  <w:sz w:val="16"/>
                                </w:rPr>
                                <w:t>Afgrænsninger i figuren</w:t>
                              </w:r>
                            </w:p>
                          </w:tc>
                        </w:tr>
                        <w:tr w:rsidR="00EC79CE">
                          <w:trPr>
                            <w:trHeight w:val="217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Beliggenhedsregion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Alle</w:t>
                              </w:r>
                            </w:p>
                          </w:tc>
                        </w:tr>
                        <w:tr w:rsidR="00EC79CE">
                          <w:trPr>
                            <w:trHeight w:val="205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Beliggenhedskommune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Alle</w:t>
                              </w:r>
                            </w:p>
                          </w:tc>
                        </w:tr>
                        <w:tr w:rsidR="00EC79CE">
                          <w:trPr>
                            <w:trHeight w:val="217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Institution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TECHCOLLEGE</w:t>
                              </w:r>
                            </w:p>
                          </w:tc>
                        </w:tr>
                        <w:tr w:rsidR="00EC79CE">
                          <w:trPr>
                            <w:trHeight w:val="202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Afslutningsår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2012,   2013,   2014</w:t>
                              </w:r>
                            </w:p>
                          </w:tc>
                        </w:tr>
                        <w:tr w:rsidR="00EC79CE">
                          <w:trPr>
                            <w:trHeight w:val="217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Uddannelsesgruppering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Alle</w:t>
                              </w:r>
                            </w:p>
                          </w:tc>
                        </w:tr>
                        <w:tr w:rsidR="00EC79CE">
                          <w:trPr>
                            <w:trHeight w:val="232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Uddannelsesregi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All</w:t>
                              </w:r>
                            </w:p>
                          </w:tc>
                        </w:tr>
                        <w:tr w:rsidR="00EC79CE">
                          <w:trPr>
                            <w:trHeight w:val="247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Alder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Alle</w:t>
                              </w:r>
                            </w:p>
                          </w:tc>
                        </w:tr>
                        <w:tr w:rsidR="00EC79CE">
                          <w:trPr>
                            <w:trHeight w:val="217"/>
                          </w:trPr>
                          <w:tc>
                            <w:tcPr>
                              <w:tcW w:w="2417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Køn</w:t>
                              </w:r>
                            </w:p>
                          </w:tc>
                          <w:tc>
                            <w:tcPr>
                              <w:tcW w:w="6896" w:type="dxa"/>
                              <w:tcBorders>
                                <w:top w:val="single" w:sz="7" w:space="0" w:color="FFFFFF"/>
                                <w:left w:val="single" w:sz="7" w:space="0" w:color="FFFFFF"/>
                                <w:bottom w:val="single" w:sz="7" w:space="0" w:color="FFFFFF"/>
                                <w:right w:val="single" w:sz="7" w:space="0" w:color="FFFFF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Alle</w:t>
                              </w:r>
                            </w:p>
                          </w:tc>
                        </w:tr>
                      </w:tbl>
                      <w:p w:rsidR="00EC79CE" w:rsidRDefault="00EC79C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79CE">
                    <w:trPr>
                      <w:trHeight w:val="100"/>
                    </w:trPr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73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4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12F7" w:rsidTr="002C12F7">
                    <w:trPr>
                      <w:trHeight w:val="2182"/>
                    </w:trPr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73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3"/>
                        </w:tblGrid>
                        <w:tr w:rsidR="00EC79CE">
                          <w:trPr>
                            <w:trHeight w:val="2104"/>
                          </w:trPr>
                          <w:tc>
                            <w:tcPr>
                              <w:tcW w:w="93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000000"/>
                                  <w:sz w:val="16"/>
                                </w:rPr>
                                <w:t>Note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: Frekvenserne er et gennemsnit af aktiviteten i kalenderåret efter endt uddannelse. Det vil sige, at for elever, som blev færdiguddannede i 2013, er frekvenserne et udtryk for gennemsnittet i 2014.</w:t>
                              </w:r>
                            </w:p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I rapporten bliver de historiske frekvenser låst i forbindelse med den årlige opdatering af ATP data. Frekvenserne for 2013 vil således svarer til beskæftigelsesfrekvenserne opgjort i 2015 og frekvenserne for 2012 vil svarer til opgørelsen fra 2014.</w:t>
                              </w:r>
                            </w:p>
                            <w:p w:rsidR="00EC79CE" w:rsidRDefault="00A55E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  <w:t>Insti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tutionsoplysningerne knytter sig til den institution, hvor eleven er afgangsmeldt fra.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  <w:t xml:space="preserve">Beskæftigelses-, dagpenge-, syge-, barsels- og kontanthjælpsfrekvenser kan generelt være mindre præcise på uddannelser med relativt få elever og stor andel af kvinder, 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idet kvinder oftere end mænd vil have en barselsfrekvens/deltid.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  <w:t>Bemærk, at der ingen øvre grænse for beskæftigelsesfrekvens er. Hvis den enkelte eksempelvis har to deltidsjob, kan beskæftigelsesfrekvensen overstige 1,0. Hvis en færdiguddannet kun arbejde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>r halv tid, vil beskæftigelsesfrekvensen være 0,5. Erhvervsuddannede, som ikke har indbetalinger til ATP i perioden, indgår med 0,0 i beregningen af beskæftigelsesfrekvenserne.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/>
                                  <w:b/>
                                  <w:color w:val="000000"/>
                                  <w:sz w:val="16"/>
                                </w:rPr>
                                <w:t>Datakilde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/>
                                  <w:sz w:val="16"/>
                                </w:rPr>
                                <w:t xml:space="preserve">: ATP og Styrelsen for It og Læring </w:t>
                              </w:r>
                            </w:p>
                          </w:tc>
                        </w:tr>
                      </w:tbl>
                      <w:p w:rsidR="00EC79CE" w:rsidRDefault="00EC79C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79CE">
                    <w:trPr>
                      <w:trHeight w:val="328"/>
                    </w:trPr>
                    <w:tc>
                      <w:tcPr>
                        <w:tcW w:w="3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73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4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7" w:type="dxa"/>
                      </w:tcPr>
                      <w:p w:rsidR="00EC79CE" w:rsidRDefault="00EC79C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C79CE" w:rsidRDefault="00EC79CE">
                  <w:pPr>
                    <w:spacing w:after="0" w:line="240" w:lineRule="auto"/>
                  </w:pPr>
                </w:p>
              </w:tc>
            </w:tr>
            <w:tr w:rsidR="00EC79CE">
              <w:trPr>
                <w:trHeight w:val="257"/>
              </w:trPr>
              <w:tc>
                <w:tcPr>
                  <w:tcW w:w="9423" w:type="dxa"/>
                </w:tcPr>
                <w:p w:rsidR="00EC79CE" w:rsidRDefault="00EC79C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C79CE" w:rsidRDefault="00EC79CE">
            <w:pPr>
              <w:spacing w:after="0" w:line="240" w:lineRule="auto"/>
            </w:pPr>
          </w:p>
        </w:tc>
        <w:tc>
          <w:tcPr>
            <w:tcW w:w="69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</w:tbl>
    <w:p w:rsidR="00EC79CE" w:rsidRDefault="00EC79CE">
      <w:pPr>
        <w:spacing w:after="0" w:line="240" w:lineRule="auto"/>
        <w:rPr>
          <w:sz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100"/>
        <w:gridCol w:w="67"/>
      </w:tblGrid>
      <w:tr w:rsidR="00EC79CE">
        <w:tc>
          <w:tcPr>
            <w:tcW w:w="80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  <w:tc>
          <w:tcPr>
            <w:tcW w:w="10100" w:type="dxa"/>
          </w:tcPr>
          <w:p w:rsidR="00EC79CE" w:rsidRDefault="00EC79CE">
            <w:pPr>
              <w:spacing w:after="0" w:line="240" w:lineRule="auto"/>
            </w:pPr>
          </w:p>
        </w:tc>
        <w:tc>
          <w:tcPr>
            <w:tcW w:w="67" w:type="dxa"/>
          </w:tcPr>
          <w:p w:rsidR="00EC79CE" w:rsidRDefault="00EC79CE">
            <w:pPr>
              <w:pStyle w:val="EmptyCellLayoutStyle"/>
              <w:spacing w:after="0" w:line="240" w:lineRule="auto"/>
            </w:pPr>
          </w:p>
        </w:tc>
      </w:tr>
    </w:tbl>
    <w:p w:rsidR="00EC79CE" w:rsidRPr="002C12F7" w:rsidRDefault="00EC79CE">
      <w:pPr>
        <w:spacing w:after="0" w:line="240" w:lineRule="auto"/>
        <w:rPr>
          <w:sz w:val="0"/>
        </w:rPr>
      </w:pPr>
    </w:p>
    <w:sectPr w:rsidR="00EC79CE" w:rsidRPr="002C12F7">
      <w:footerReference w:type="default" r:id="rId7"/>
      <w:pgSz w:w="12516" w:h="16837"/>
      <w:pgMar w:top="1133" w:right="1133" w:bottom="1133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D7" w:rsidRDefault="00A55ED7">
      <w:pPr>
        <w:spacing w:after="0" w:line="240" w:lineRule="auto"/>
      </w:pPr>
      <w:r>
        <w:separator/>
      </w:r>
    </w:p>
  </w:endnote>
  <w:endnote w:type="continuationSeparator" w:id="0">
    <w:p w:rsidR="00A55ED7" w:rsidRDefault="00A5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"/>
      <w:gridCol w:w="4087"/>
      <w:gridCol w:w="2348"/>
      <w:gridCol w:w="2880"/>
      <w:gridCol w:w="98"/>
    </w:tblGrid>
    <w:tr w:rsidR="00EC79CE">
      <w:tc>
        <w:tcPr>
          <w:tcW w:w="87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4087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234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9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</w:tr>
    <w:tr w:rsidR="00EC79CE">
      <w:tc>
        <w:tcPr>
          <w:tcW w:w="87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40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87"/>
          </w:tblGrid>
          <w:tr w:rsidR="00EC79CE">
            <w:trPr>
              <w:trHeight w:val="262"/>
            </w:trPr>
            <w:tc>
              <w:tcPr>
                <w:tcW w:w="40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79CE" w:rsidRDefault="00A55ED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Kørt af bruger: GIMLE\dvh_publicuser</w:t>
                </w:r>
              </w:p>
              <w:p w:rsidR="00EC79CE" w:rsidRDefault="00A55ED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Kørselsdato: 14-03-2017</w:t>
                </w:r>
              </w:p>
            </w:tc>
          </w:tr>
        </w:tbl>
        <w:p w:rsidR="00EC79CE" w:rsidRDefault="00EC79CE">
          <w:pPr>
            <w:spacing w:after="0" w:line="240" w:lineRule="auto"/>
          </w:pPr>
        </w:p>
      </w:tc>
      <w:tc>
        <w:tcPr>
          <w:tcW w:w="234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28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EC79CE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79CE" w:rsidRDefault="00A55E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Side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C12F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af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C12F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C79CE" w:rsidRDefault="00EC79CE">
          <w:pPr>
            <w:spacing w:after="0" w:line="240" w:lineRule="auto"/>
          </w:pPr>
        </w:p>
      </w:tc>
      <w:tc>
        <w:tcPr>
          <w:tcW w:w="9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</w:tr>
    <w:tr w:rsidR="00EC79CE">
      <w:tc>
        <w:tcPr>
          <w:tcW w:w="87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4087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234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2880" w:type="dxa"/>
          <w:vMerge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9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</w:tr>
    <w:tr w:rsidR="00EC79CE">
      <w:tc>
        <w:tcPr>
          <w:tcW w:w="87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4087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234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  <w:tc>
        <w:tcPr>
          <w:tcW w:w="98" w:type="dxa"/>
        </w:tcPr>
        <w:p w:rsidR="00EC79CE" w:rsidRDefault="00EC79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D7" w:rsidRDefault="00A55ED7">
      <w:pPr>
        <w:spacing w:after="0" w:line="240" w:lineRule="auto"/>
      </w:pPr>
      <w:r>
        <w:separator/>
      </w:r>
    </w:p>
  </w:footnote>
  <w:footnote w:type="continuationSeparator" w:id="0">
    <w:p w:rsidR="00A55ED7" w:rsidRDefault="00A5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CE"/>
    <w:rsid w:val="002C12F7"/>
    <w:rsid w:val="00A55ED7"/>
    <w:rsid w:val="00E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5FC5-6E71-4391-9098-9223625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3_EUD_frekvenser.rdl</vt:lpstr>
    </vt:vector>
  </TitlesOfParts>
  <Company>IT Center Nord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3_EUD_frekvenser.rdl</dc:title>
  <dc:creator>Anita Lindkvist Nørbjerg</dc:creator>
  <dc:description>deploy</dc:description>
  <cp:lastModifiedBy>Anita Lindkvist Nørbjerg</cp:lastModifiedBy>
  <cp:revision>2</cp:revision>
  <dcterms:created xsi:type="dcterms:W3CDTF">2017-03-14T09:28:00Z</dcterms:created>
  <dcterms:modified xsi:type="dcterms:W3CDTF">2017-03-14T09:28:00Z</dcterms:modified>
</cp:coreProperties>
</file>