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196" w:rsidRPr="00F16DE6" w:rsidRDefault="00C63CAD" w:rsidP="00144196">
      <w:pPr>
        <w:rPr>
          <w:b/>
          <w:sz w:val="32"/>
          <w:szCs w:val="32"/>
        </w:rPr>
      </w:pPr>
      <w:r>
        <w:rPr>
          <w:b/>
          <w:sz w:val="32"/>
          <w:szCs w:val="32"/>
        </w:rPr>
        <w:t>Strategisk ambition: Uddannelsesudvikling</w:t>
      </w:r>
    </w:p>
    <w:p w:rsidR="00144196" w:rsidRDefault="00144196" w:rsidP="00144196">
      <w:r>
        <w:t>De involverende processer skal jf. ovenfor bruges til udfolde og konkretisere hvert strategisk indsatsområde, hvilket sker med afsæt i følgende skabelon. Der skal således for hvert strategisk indsatsområde beskrives følgende:</w:t>
      </w:r>
    </w:p>
    <w:p w:rsidR="00144196" w:rsidRDefault="00144196" w:rsidP="00144196">
      <w:pPr>
        <w:pStyle w:val="Listeafsnit"/>
        <w:numPr>
          <w:ilvl w:val="0"/>
          <w:numId w:val="1"/>
        </w:numPr>
      </w:pPr>
      <w:r>
        <w:t>Strategisk ambition (hvilken forandring vil vi overordnet set skabe)</w:t>
      </w:r>
    </w:p>
    <w:p w:rsidR="00144196" w:rsidRDefault="00144196" w:rsidP="00144196">
      <w:pPr>
        <w:pStyle w:val="Listeafsnit"/>
        <w:numPr>
          <w:ilvl w:val="0"/>
          <w:numId w:val="1"/>
        </w:numPr>
      </w:pPr>
      <w:r>
        <w:t>Målsætninger/pejlemærker (hvilke resultater/tegn skal vi se)</w:t>
      </w:r>
    </w:p>
    <w:p w:rsidR="00144196" w:rsidRDefault="00144196" w:rsidP="00144196">
      <w:pPr>
        <w:pStyle w:val="Listeafsnit"/>
        <w:numPr>
          <w:ilvl w:val="0"/>
          <w:numId w:val="1"/>
        </w:numPr>
      </w:pPr>
      <w:r>
        <w:t>Indsatser (konkrete bud på initiativer/indsatser)</w:t>
      </w:r>
    </w:p>
    <w:p w:rsidR="00144196" w:rsidRDefault="00144196" w:rsidP="00144196"/>
    <w:tbl>
      <w:tblPr>
        <w:tblStyle w:val="Tabel-Gitter"/>
        <w:tblW w:w="0" w:type="auto"/>
        <w:tblCellMar>
          <w:top w:w="57" w:type="dxa"/>
          <w:bottom w:w="57" w:type="dxa"/>
        </w:tblCellMar>
        <w:tblLook w:val="04A0" w:firstRow="1" w:lastRow="0" w:firstColumn="1" w:lastColumn="0" w:noHBand="0" w:noVBand="1"/>
      </w:tblPr>
      <w:tblGrid>
        <w:gridCol w:w="6996"/>
        <w:gridCol w:w="6996"/>
      </w:tblGrid>
      <w:tr w:rsidR="00144196" w:rsidTr="00614506">
        <w:tc>
          <w:tcPr>
            <w:tcW w:w="13992" w:type="dxa"/>
            <w:gridSpan w:val="2"/>
            <w:shd w:val="clear" w:color="auto" w:fill="D0CECE" w:themeFill="background2" w:themeFillShade="E6"/>
          </w:tcPr>
          <w:p w:rsidR="00144196" w:rsidRPr="000B4A57" w:rsidRDefault="00B661C0" w:rsidP="00614506">
            <w:pPr>
              <w:rPr>
                <w:b/>
                <w:sz w:val="24"/>
                <w:szCs w:val="24"/>
              </w:rPr>
            </w:pPr>
            <w:r>
              <w:rPr>
                <w:b/>
                <w:sz w:val="24"/>
                <w:szCs w:val="24"/>
              </w:rPr>
              <w:t>Strategisk ambition: Globalisering</w:t>
            </w:r>
          </w:p>
        </w:tc>
      </w:tr>
      <w:tr w:rsidR="00144196" w:rsidTr="00614506">
        <w:tc>
          <w:tcPr>
            <w:tcW w:w="13992" w:type="dxa"/>
            <w:gridSpan w:val="2"/>
          </w:tcPr>
          <w:p w:rsidR="00E52505" w:rsidRDefault="00200491" w:rsidP="00F62E01">
            <w:pPr>
              <w:pStyle w:val="paragraph"/>
              <w:textAlignment w:val="baseline"/>
              <w:rPr>
                <w:rStyle w:val="normaltextrun"/>
                <w:rFonts w:asciiTheme="minorHAnsi" w:hAnsiTheme="minorHAnsi" w:cstheme="minorHAnsi"/>
                <w:sz w:val="22"/>
                <w:szCs w:val="22"/>
              </w:rPr>
            </w:pPr>
            <w:r w:rsidRPr="00F62E01">
              <w:rPr>
                <w:rFonts w:asciiTheme="minorHAnsi" w:hAnsiTheme="minorHAnsi" w:cstheme="minorHAnsi"/>
                <w:sz w:val="22"/>
                <w:szCs w:val="22"/>
              </w:rPr>
              <w:t>TECHCOLLEGE står stærkt med en fælles globaliseringsstrategi for alle uddannelsesområder. Vi har gennem en årrække arbejdet professionelt med globalisering ud fra den antagelse at internationalt fokus og – samarbejde vil berige både elever, lærere og organisation.</w:t>
            </w:r>
            <w:r w:rsidR="00A57116" w:rsidRPr="00F62E01">
              <w:rPr>
                <w:rFonts w:asciiTheme="minorHAnsi" w:hAnsiTheme="minorHAnsi" w:cstheme="minorHAnsi"/>
                <w:sz w:val="22"/>
                <w:szCs w:val="22"/>
              </w:rPr>
              <w:t xml:space="preserve"> </w:t>
            </w:r>
            <w:r w:rsidR="00F21F23" w:rsidRPr="00F62E01">
              <w:rPr>
                <w:rFonts w:asciiTheme="minorHAnsi" w:hAnsiTheme="minorHAnsi" w:cstheme="minorHAnsi"/>
                <w:sz w:val="22"/>
                <w:szCs w:val="22"/>
              </w:rPr>
              <w:t xml:space="preserve">Men vi vil blive endnu stærkere </w:t>
            </w:r>
            <w:r w:rsidR="00E52505">
              <w:rPr>
                <w:rFonts w:asciiTheme="minorHAnsi" w:hAnsiTheme="minorHAnsi" w:cstheme="minorHAnsi"/>
                <w:sz w:val="22"/>
                <w:szCs w:val="22"/>
              </w:rPr>
              <w:t xml:space="preserve">ved fælles indsats </w:t>
            </w:r>
            <w:r w:rsidR="00F21F23" w:rsidRPr="00F62E01">
              <w:rPr>
                <w:rFonts w:asciiTheme="minorHAnsi" w:hAnsiTheme="minorHAnsi" w:cstheme="minorHAnsi"/>
                <w:sz w:val="22"/>
                <w:szCs w:val="22"/>
              </w:rPr>
              <w:t xml:space="preserve">og øge indsatsen for det globale aftryk i alle vores uddannelser. </w:t>
            </w:r>
            <w:r w:rsidR="00A57116" w:rsidRPr="00F62E01">
              <w:rPr>
                <w:rStyle w:val="normaltextrun"/>
                <w:rFonts w:asciiTheme="minorHAnsi" w:hAnsiTheme="minorHAnsi" w:cstheme="minorHAnsi"/>
                <w:sz w:val="22"/>
                <w:szCs w:val="22"/>
              </w:rPr>
              <w:t>Vi vil uddanne unge mennesker med globale, interkulturelle, sproglige og faglige kompetencer, som gør dem i stand til at mestre og løse de aktuelle og fremtidige udfordringer inden for det strategiske område </w:t>
            </w:r>
            <w:r w:rsidR="00A57116" w:rsidRPr="00F62E01">
              <w:rPr>
                <w:rStyle w:val="normaltextrun"/>
                <w:rFonts w:asciiTheme="minorHAnsi" w:hAnsiTheme="minorHAnsi" w:cstheme="minorHAnsi"/>
                <w:i/>
                <w:iCs/>
                <w:sz w:val="22"/>
                <w:szCs w:val="22"/>
              </w:rPr>
              <w:t>globalt medborgerskab </w:t>
            </w:r>
            <w:r w:rsidR="00A57116" w:rsidRPr="00F62E01">
              <w:rPr>
                <w:rStyle w:val="normaltextrun"/>
                <w:rFonts w:asciiTheme="minorHAnsi" w:hAnsiTheme="minorHAnsi" w:cstheme="minorHAnsi"/>
                <w:sz w:val="22"/>
                <w:szCs w:val="22"/>
              </w:rPr>
              <w:t>og</w:t>
            </w:r>
            <w:r w:rsidR="00F21F23" w:rsidRPr="00F62E01">
              <w:rPr>
                <w:rStyle w:val="normaltextrun"/>
                <w:rFonts w:asciiTheme="minorHAnsi" w:hAnsiTheme="minorHAnsi" w:cstheme="minorHAnsi"/>
                <w:sz w:val="22"/>
                <w:szCs w:val="22"/>
              </w:rPr>
              <w:t xml:space="preserve"> sætter i den sammenhæng FN’s Verdensmål på dagsordenen</w:t>
            </w:r>
            <w:r w:rsidR="00A57116" w:rsidRPr="00F62E01">
              <w:rPr>
                <w:rStyle w:val="normaltextrun"/>
                <w:rFonts w:asciiTheme="minorHAnsi" w:hAnsiTheme="minorHAnsi" w:cstheme="minorHAnsi"/>
                <w:sz w:val="22"/>
                <w:szCs w:val="22"/>
              </w:rPr>
              <w:t xml:space="preserve">. </w:t>
            </w:r>
            <w:r w:rsidR="00F21F23" w:rsidRPr="00F62E01">
              <w:rPr>
                <w:rStyle w:val="normaltextrun"/>
                <w:rFonts w:asciiTheme="minorHAnsi" w:hAnsiTheme="minorHAnsi" w:cstheme="minorHAnsi"/>
                <w:sz w:val="22"/>
                <w:szCs w:val="22"/>
              </w:rPr>
              <w:t>Strategien bygger på de positive erfaringer, der er opnået gennem de sidste årtiers strategiplaner, som har anvist de mål og aktiviteter, der skulle satses på, for at styrke det internationale/globale aspekt i skolens virke.</w:t>
            </w:r>
          </w:p>
          <w:p w:rsidR="00132200" w:rsidRDefault="00F21F23" w:rsidP="001B45B0">
            <w:r w:rsidRPr="00F62E01">
              <w:rPr>
                <w:rStyle w:val="normaltextrun"/>
                <w:rFonts w:cstheme="minorHAnsi"/>
              </w:rPr>
              <w:t>Den overordnede ide med globaliseringsindsatsen er fortsat at bidrage til, at TECHCOLLEGE s</w:t>
            </w:r>
            <w:r w:rsidR="00132200">
              <w:rPr>
                <w:rStyle w:val="normaltextrun"/>
                <w:rFonts w:cstheme="minorHAnsi"/>
              </w:rPr>
              <w:t>ikrer</w:t>
            </w:r>
            <w:r w:rsidRPr="00F62E01">
              <w:rPr>
                <w:rStyle w:val="normaltextrun"/>
                <w:rFonts w:cstheme="minorHAnsi"/>
              </w:rPr>
              <w:t>, at eleverne på bedst mulig måde forberedes til at kunne arbejde og videreuddanne sig på det globaliserede arbejdsmarked og uddannelsesmiljø i en livslang kontekst. Dette søges realiseret både gennem den daglige undervisning hjemme på skolen (globalisering på hjemmefronten) og gennem internationale lærings- og mobilitetsaktiviteter ude omkring i verden. Indsatsen tænkes gennemført på en sådan måde, at den er rettet mod eleverne både i bredden (hvor alle kan være med) og i dybden (for de specielt interesserede/motiverede/talentfulde elever). Samtidig ønsker TECHCOLLEGE fremover i stigende grad at benytte skolens udbud af mobilitetsaktiviteter som et markedsføringsmæssigt fokuspunkt i arbejdet med at re</w:t>
            </w:r>
            <w:r w:rsidR="00D658E5" w:rsidRPr="00F62E01">
              <w:rPr>
                <w:rStyle w:val="normaltextrun"/>
                <w:rFonts w:cstheme="minorHAnsi"/>
              </w:rPr>
              <w:t>kruttere flere elever til skolen, samt sikre kvalitet og udvikling af uddannelserne</w:t>
            </w:r>
            <w:r w:rsidRPr="00F62E01">
              <w:rPr>
                <w:rStyle w:val="normaltextrun"/>
                <w:rFonts w:cstheme="minorHAnsi"/>
              </w:rPr>
              <w:t>.</w:t>
            </w:r>
            <w:r w:rsidR="008756EF" w:rsidRPr="00F62E01">
              <w:rPr>
                <w:rStyle w:val="normaltextrun"/>
                <w:rFonts w:cstheme="minorHAnsi"/>
              </w:rPr>
              <w:t xml:space="preserve"> I de</w:t>
            </w:r>
            <w:r w:rsidR="00E52505">
              <w:rPr>
                <w:rStyle w:val="normaltextrun"/>
                <w:rFonts w:cstheme="minorHAnsi"/>
              </w:rPr>
              <w:t>tte arbejde vil vi udvide aktør</w:t>
            </w:r>
            <w:r w:rsidR="008756EF" w:rsidRPr="00F62E01">
              <w:rPr>
                <w:rStyle w:val="normaltextrun"/>
                <w:rFonts w:cstheme="minorHAnsi"/>
              </w:rPr>
              <w:t xml:space="preserve">kredsen </w:t>
            </w:r>
            <w:r w:rsidR="00F62E01" w:rsidRPr="00F62E01">
              <w:rPr>
                <w:rStyle w:val="normaltextrun"/>
                <w:rFonts w:cstheme="minorHAnsi"/>
              </w:rPr>
              <w:t xml:space="preserve">af samarbejdspartnere; herunder </w:t>
            </w:r>
            <w:r w:rsidR="001B45B0">
              <w:t>uddannelsesinstitutioner, virksomheder og netværk, til at omhandle formaliserede aftaler både lokal</w:t>
            </w:r>
            <w:r w:rsidR="001B45B0">
              <w:t>t, regionalt og internationalt.</w:t>
            </w:r>
            <w:r w:rsidR="00132200">
              <w:t xml:space="preserve"> Vi ønsker at udvikle et globalt </w:t>
            </w:r>
            <w:proofErr w:type="spellStart"/>
            <w:r w:rsidR="00132200">
              <w:t>mind</w:t>
            </w:r>
            <w:bookmarkStart w:id="0" w:name="_GoBack"/>
            <w:bookmarkEnd w:id="0"/>
            <w:r w:rsidR="00132200">
              <w:t>set</w:t>
            </w:r>
            <w:proofErr w:type="spellEnd"/>
            <w:r w:rsidR="00132200">
              <w:t xml:space="preserve"> i et fælles skoleregi.</w:t>
            </w:r>
          </w:p>
          <w:p w:rsidR="001B45B0" w:rsidRPr="001B45B0" w:rsidRDefault="001B45B0" w:rsidP="001B45B0"/>
          <w:p w:rsidR="00C63CAD" w:rsidRDefault="00C63CAD" w:rsidP="00C63CAD">
            <w:pPr>
              <w:rPr>
                <w:rFonts w:cstheme="minorHAnsi"/>
              </w:rPr>
            </w:pPr>
            <w:r w:rsidRPr="00C63CAD">
              <w:rPr>
                <w:rFonts w:cstheme="minorHAnsi"/>
                <w:b/>
              </w:rPr>
              <w:t>Ekstern styrkelse af TECHCOLLEGES internationale profil i forhold til omverdenen.</w:t>
            </w:r>
            <w:r>
              <w:rPr>
                <w:rFonts w:cstheme="minorHAnsi"/>
              </w:rPr>
              <w:t xml:space="preserve"> </w:t>
            </w:r>
          </w:p>
          <w:p w:rsidR="00144196" w:rsidRDefault="00C63CAD" w:rsidP="00C63CAD">
            <w:pPr>
              <w:rPr>
                <w:rFonts w:cstheme="minorHAnsi"/>
              </w:rPr>
            </w:pPr>
            <w:r>
              <w:rPr>
                <w:rFonts w:cstheme="minorHAnsi"/>
              </w:rPr>
              <w:t>Målet er,</w:t>
            </w:r>
            <w:r w:rsidRPr="00C63CAD">
              <w:rPr>
                <w:rFonts w:cstheme="minorHAnsi"/>
              </w:rPr>
              <w:t xml:space="preserve"> at TECHCOLLEGE opfattes som en ungdomsuddannelse med stærk international profil og en uddannelsesinstitution hvor globalisering og mobilitet er en naturlig del af ALLE uddannelser og derved opnår attraktiv status som første valg af elever og samarbejdspartnere, der ønsker en uddannelse</w:t>
            </w:r>
            <w:r>
              <w:rPr>
                <w:rFonts w:cstheme="minorHAnsi"/>
              </w:rPr>
              <w:t xml:space="preserve"> eller samarbejde med en </w:t>
            </w:r>
            <w:r w:rsidRPr="00C63CAD">
              <w:rPr>
                <w:rFonts w:cstheme="minorHAnsi"/>
              </w:rPr>
              <w:t>international profil.</w:t>
            </w:r>
          </w:p>
          <w:p w:rsidR="00C63CAD" w:rsidRDefault="00C63CAD" w:rsidP="00C63CAD">
            <w:pPr>
              <w:rPr>
                <w:rFonts w:cstheme="minorHAnsi"/>
              </w:rPr>
            </w:pPr>
          </w:p>
          <w:p w:rsidR="00C63CAD" w:rsidRPr="001D60A2" w:rsidRDefault="00C63CAD" w:rsidP="00C63CAD">
            <w:pPr>
              <w:rPr>
                <w:rFonts w:cstheme="minorHAnsi"/>
                <w:b/>
              </w:rPr>
            </w:pPr>
            <w:r w:rsidRPr="001D60A2">
              <w:rPr>
                <w:rFonts w:cstheme="minorHAnsi"/>
                <w:b/>
              </w:rPr>
              <w:t>Intern styrkelse af TECHCOLLGES globaliserings aktiviteter i læringssituationer.</w:t>
            </w:r>
          </w:p>
          <w:p w:rsidR="00C63CAD" w:rsidRDefault="00C63CAD" w:rsidP="00C63CAD">
            <w:pPr>
              <w:rPr>
                <w:rFonts w:cstheme="minorHAnsi"/>
              </w:rPr>
            </w:pPr>
            <w:r>
              <w:rPr>
                <w:rFonts w:cstheme="minorHAnsi"/>
              </w:rPr>
              <w:t>M</w:t>
            </w:r>
            <w:r w:rsidRPr="00F62E01">
              <w:rPr>
                <w:rFonts w:cstheme="minorHAnsi"/>
              </w:rPr>
              <w:t>ålet med skolens globaliseringsindsats er på bedst mulig måde at forberede eleverne - gennem undervisningen på skolen og via deltagelse i international mobilitet - til at kunne fungere optimalt på det globaliserede arbejdsmarked i forhold til beskæftigelse som faglærte eller med videregående uddannelse - og i forhold til livslang læring og efteruddannelse, samt løbende at kvalificere skolens medarbejdere til at løse denne udfordring.</w:t>
            </w:r>
          </w:p>
          <w:p w:rsidR="00C63CAD" w:rsidRPr="00C63CAD" w:rsidRDefault="00C63CAD" w:rsidP="00C63CAD">
            <w:pPr>
              <w:rPr>
                <w:rFonts w:cstheme="minorHAnsi"/>
              </w:rPr>
            </w:pPr>
          </w:p>
        </w:tc>
      </w:tr>
      <w:tr w:rsidR="00144196" w:rsidTr="00614506">
        <w:tc>
          <w:tcPr>
            <w:tcW w:w="6996" w:type="dxa"/>
            <w:shd w:val="clear" w:color="auto" w:fill="D0CECE" w:themeFill="background2" w:themeFillShade="E6"/>
          </w:tcPr>
          <w:p w:rsidR="00144196" w:rsidRPr="000B4A57" w:rsidRDefault="00144196" w:rsidP="00614506">
            <w:pPr>
              <w:rPr>
                <w:b/>
                <w:sz w:val="24"/>
                <w:szCs w:val="24"/>
              </w:rPr>
            </w:pPr>
            <w:r>
              <w:rPr>
                <w:b/>
                <w:sz w:val="24"/>
                <w:szCs w:val="24"/>
              </w:rPr>
              <w:lastRenderedPageBreak/>
              <w:t>Målsætninger/pejlemærker</w:t>
            </w:r>
          </w:p>
        </w:tc>
        <w:tc>
          <w:tcPr>
            <w:tcW w:w="6996" w:type="dxa"/>
            <w:shd w:val="clear" w:color="auto" w:fill="D0CECE" w:themeFill="background2" w:themeFillShade="E6"/>
          </w:tcPr>
          <w:p w:rsidR="00144196" w:rsidRPr="000B4A57" w:rsidRDefault="00144196" w:rsidP="00614506">
            <w:pPr>
              <w:rPr>
                <w:b/>
                <w:sz w:val="24"/>
                <w:szCs w:val="24"/>
              </w:rPr>
            </w:pPr>
            <w:r w:rsidRPr="000B4A57">
              <w:rPr>
                <w:b/>
                <w:sz w:val="24"/>
                <w:szCs w:val="24"/>
              </w:rPr>
              <w:t>Indsatser</w:t>
            </w:r>
          </w:p>
        </w:tc>
      </w:tr>
      <w:tr w:rsidR="00144196" w:rsidTr="00614506">
        <w:tc>
          <w:tcPr>
            <w:tcW w:w="6996" w:type="dxa"/>
          </w:tcPr>
          <w:p w:rsidR="00132200" w:rsidRDefault="00132200" w:rsidP="001D60A2">
            <w:pPr>
              <w:pStyle w:val="Default"/>
              <w:rPr>
                <w:rFonts w:asciiTheme="minorHAnsi" w:hAnsiTheme="minorHAnsi" w:cstheme="minorHAnsi"/>
                <w:sz w:val="22"/>
                <w:szCs w:val="22"/>
              </w:rPr>
            </w:pPr>
            <w:r>
              <w:rPr>
                <w:rFonts w:asciiTheme="minorHAnsi" w:hAnsiTheme="minorHAnsi" w:cstheme="minorHAnsi"/>
                <w:sz w:val="22"/>
                <w:szCs w:val="22"/>
              </w:rPr>
              <w:t>Eksternt:</w:t>
            </w:r>
          </w:p>
          <w:p w:rsidR="00132200" w:rsidRDefault="00132200" w:rsidP="001D60A2">
            <w:pPr>
              <w:pStyle w:val="Default"/>
              <w:rPr>
                <w:rFonts w:asciiTheme="minorHAnsi" w:hAnsiTheme="minorHAnsi" w:cstheme="minorHAnsi"/>
                <w:sz w:val="22"/>
                <w:szCs w:val="22"/>
              </w:rPr>
            </w:pPr>
          </w:p>
          <w:p w:rsidR="00132200" w:rsidRDefault="00132200" w:rsidP="00132200">
            <w:pPr>
              <w:pStyle w:val="Default"/>
              <w:rPr>
                <w:rFonts w:asciiTheme="minorHAnsi" w:hAnsiTheme="minorHAnsi" w:cstheme="minorHAnsi"/>
                <w:sz w:val="22"/>
                <w:szCs w:val="22"/>
              </w:rPr>
            </w:pPr>
            <w:r w:rsidRPr="00132200">
              <w:rPr>
                <w:rFonts w:asciiTheme="minorHAnsi" w:hAnsiTheme="minorHAnsi" w:cstheme="minorHAnsi"/>
                <w:sz w:val="22"/>
                <w:szCs w:val="22"/>
              </w:rPr>
              <w:t>Mobilitet og internationale projekter/aktioner baseret på eksternt budget: ERASMUS, NORDPLUS, DK-USA program, studieophold i udlandet, internationale praktikforløb, PIU</w:t>
            </w:r>
          </w:p>
          <w:p w:rsidR="00132200" w:rsidRDefault="00132200" w:rsidP="00132200">
            <w:pPr>
              <w:pStyle w:val="Default"/>
              <w:rPr>
                <w:rFonts w:asciiTheme="minorHAnsi" w:hAnsiTheme="minorHAnsi" w:cstheme="minorHAnsi"/>
                <w:sz w:val="22"/>
                <w:szCs w:val="22"/>
              </w:rPr>
            </w:pPr>
          </w:p>
          <w:p w:rsidR="00132200" w:rsidRDefault="00132200" w:rsidP="00132200">
            <w:pPr>
              <w:pStyle w:val="Default"/>
              <w:rPr>
                <w:rFonts w:asciiTheme="minorHAnsi" w:hAnsiTheme="minorHAnsi" w:cstheme="minorHAnsi"/>
                <w:sz w:val="22"/>
                <w:szCs w:val="22"/>
              </w:rPr>
            </w:pPr>
          </w:p>
          <w:p w:rsidR="00132200" w:rsidRDefault="00132200" w:rsidP="00132200">
            <w:r>
              <w:t>Interkulturel og sproglig kompetence: forstået som både uformel og formel kompetence, til lærere, såvel elever, som organisation</w:t>
            </w:r>
          </w:p>
          <w:p w:rsidR="00132200" w:rsidRPr="00F62E01" w:rsidRDefault="00132200" w:rsidP="00132200">
            <w:pPr>
              <w:pStyle w:val="Default"/>
              <w:rPr>
                <w:rFonts w:asciiTheme="minorHAnsi" w:hAnsiTheme="minorHAnsi" w:cstheme="minorHAnsi"/>
                <w:sz w:val="22"/>
                <w:szCs w:val="22"/>
              </w:rPr>
            </w:pPr>
          </w:p>
        </w:tc>
        <w:tc>
          <w:tcPr>
            <w:tcW w:w="6996" w:type="dxa"/>
          </w:tcPr>
          <w:p w:rsidR="00F62E01" w:rsidRDefault="00132200" w:rsidP="00F62E01">
            <w:pPr>
              <w:pStyle w:val="Listeafsnit"/>
              <w:numPr>
                <w:ilvl w:val="0"/>
                <w:numId w:val="3"/>
              </w:numPr>
            </w:pPr>
            <w:r>
              <w:t>at fastholde grundlaget for ERASMUS charter</w:t>
            </w:r>
          </w:p>
          <w:p w:rsidR="00F62E01" w:rsidRDefault="00F62E01" w:rsidP="00F62E01">
            <w:pPr>
              <w:pStyle w:val="Listeafsnit"/>
              <w:numPr>
                <w:ilvl w:val="0"/>
                <w:numId w:val="3"/>
              </w:numPr>
            </w:pPr>
            <w:r>
              <w:t>at blive certificeret som Verdensmål skole og derved udvikle globalt medborgerskab som strategisk målsætning</w:t>
            </w:r>
          </w:p>
          <w:p w:rsidR="00F62E01" w:rsidRDefault="00F62E01" w:rsidP="00F62E01">
            <w:pPr>
              <w:pStyle w:val="Listeafsnit"/>
              <w:numPr>
                <w:ilvl w:val="0"/>
                <w:numId w:val="3"/>
              </w:numPr>
            </w:pPr>
            <w:r>
              <w:t>at deltage i globale netværk på lokalt, regionalt, nationalt og internationalt niveau på EUD, EUX og HTX</w:t>
            </w:r>
          </w:p>
          <w:p w:rsidR="00F62E01" w:rsidRDefault="00F62E01" w:rsidP="00F62E01">
            <w:pPr>
              <w:pStyle w:val="Listeafsnit"/>
              <w:numPr>
                <w:ilvl w:val="0"/>
                <w:numId w:val="3"/>
              </w:numPr>
            </w:pPr>
            <w:r>
              <w:t xml:space="preserve">at sikre en engelsk sproget profil i skolens digitale profil. </w:t>
            </w:r>
            <w:r w:rsidR="001D60A2">
              <w:t>Herunder markedsføringsmateriale</w:t>
            </w:r>
          </w:p>
          <w:p w:rsidR="00E52505" w:rsidRPr="00F62E01" w:rsidRDefault="00F62E01" w:rsidP="00132200">
            <w:pPr>
              <w:pStyle w:val="Listeafsnit"/>
              <w:numPr>
                <w:ilvl w:val="0"/>
                <w:numId w:val="3"/>
              </w:numPr>
            </w:pPr>
            <w:r>
              <w:t>at udvikle skolens internationale videndeling gennem deltagelse i strategiske partnerskaber og lignende samarbejdsaktiviteter.</w:t>
            </w:r>
          </w:p>
        </w:tc>
      </w:tr>
      <w:tr w:rsidR="00144196" w:rsidTr="00614506">
        <w:tc>
          <w:tcPr>
            <w:tcW w:w="6996" w:type="dxa"/>
          </w:tcPr>
          <w:p w:rsidR="00144196" w:rsidRDefault="00200491" w:rsidP="001D60A2">
            <w:pPr>
              <w:rPr>
                <w:rFonts w:cstheme="minorHAnsi"/>
              </w:rPr>
            </w:pPr>
            <w:r w:rsidRPr="00F62E01">
              <w:rPr>
                <w:rFonts w:cstheme="minorHAnsi"/>
              </w:rPr>
              <w:t xml:space="preserve"> </w:t>
            </w:r>
            <w:r w:rsidR="00132200">
              <w:rPr>
                <w:rFonts w:cstheme="minorHAnsi"/>
              </w:rPr>
              <w:t>Internt:</w:t>
            </w:r>
          </w:p>
          <w:p w:rsidR="00132200" w:rsidRDefault="00132200" w:rsidP="001D60A2">
            <w:pPr>
              <w:rPr>
                <w:rFonts w:cstheme="minorHAnsi"/>
              </w:rPr>
            </w:pPr>
          </w:p>
          <w:p w:rsidR="00132200" w:rsidRDefault="00132200" w:rsidP="00132200">
            <w:r>
              <w:t>Læring: Sjovere undervisning for både elever og lærere, Dynamik og differentiering, nye øjne på praksis, stærkere og bredere uddannelse</w:t>
            </w:r>
          </w:p>
          <w:p w:rsidR="00132200" w:rsidRDefault="00132200" w:rsidP="001D60A2">
            <w:pPr>
              <w:rPr>
                <w:rFonts w:cstheme="minorHAnsi"/>
              </w:rPr>
            </w:pPr>
          </w:p>
          <w:p w:rsidR="00132200" w:rsidRPr="00F62E01" w:rsidRDefault="00132200" w:rsidP="001D60A2">
            <w:pPr>
              <w:rPr>
                <w:rFonts w:cstheme="minorHAnsi"/>
              </w:rPr>
            </w:pPr>
            <w:r>
              <w:t>Stærkere og bredere ledelse af globaliseringsindsatsen på organisatorisk niveau: forstået som ledelse af og deltagelse i efteruddannelse og undervisningsforløb</w:t>
            </w:r>
            <w:r>
              <w:t xml:space="preserve"> og fagplaner (uddannelsesplaner og undervisningsplaner)</w:t>
            </w:r>
          </w:p>
        </w:tc>
        <w:tc>
          <w:tcPr>
            <w:tcW w:w="6996" w:type="dxa"/>
          </w:tcPr>
          <w:p w:rsidR="008E0B96" w:rsidRDefault="008E0B96" w:rsidP="007D6E44">
            <w:pPr>
              <w:pStyle w:val="Listeafsnit"/>
              <w:numPr>
                <w:ilvl w:val="0"/>
                <w:numId w:val="4"/>
              </w:numPr>
            </w:pPr>
            <w:r>
              <w:t>At inddrage globale aktiviteter i alle undervisningsforløb – på At inddrage lokale aktører, virksomheder, praktiksteder</w:t>
            </w:r>
          </w:p>
          <w:p w:rsidR="008E0B96" w:rsidRDefault="008E0B96" w:rsidP="008E0B96">
            <w:pPr>
              <w:pStyle w:val="Listeafsnit"/>
              <w:numPr>
                <w:ilvl w:val="0"/>
                <w:numId w:val="4"/>
              </w:numPr>
            </w:pPr>
            <w:r>
              <w:t xml:space="preserve">At være i stand til at modtage internationale gæster, elever og lærere på studieophold </w:t>
            </w:r>
          </w:p>
          <w:p w:rsidR="008E0B96" w:rsidRDefault="008E0B96" w:rsidP="008E0B96">
            <w:pPr>
              <w:pStyle w:val="Listeafsnit"/>
              <w:numPr>
                <w:ilvl w:val="0"/>
                <w:numId w:val="4"/>
              </w:numPr>
            </w:pPr>
            <w:r>
              <w:t>At udbyde 2. fremmedsprog på tværs af uddannelserne og styrke de sproglige og interkulturelle kompetencer</w:t>
            </w:r>
          </w:p>
          <w:p w:rsidR="00E52505" w:rsidRDefault="00E52505" w:rsidP="008E0B96">
            <w:pPr>
              <w:pStyle w:val="Listeafsnit"/>
              <w:numPr>
                <w:ilvl w:val="0"/>
                <w:numId w:val="4"/>
              </w:numPr>
            </w:pPr>
            <w:r>
              <w:t>At udbyde Cambridge kurser til både eksterne og interne kunder</w:t>
            </w:r>
          </w:p>
          <w:p w:rsidR="00E52505" w:rsidRDefault="00132200" w:rsidP="008E0B96">
            <w:pPr>
              <w:pStyle w:val="Listeafsnit"/>
              <w:numPr>
                <w:ilvl w:val="0"/>
                <w:numId w:val="4"/>
              </w:numPr>
            </w:pPr>
            <w:r>
              <w:t xml:space="preserve">At styrke </w:t>
            </w:r>
            <w:r w:rsidR="00E52505">
              <w:t xml:space="preserve">det </w:t>
            </w:r>
            <w:r w:rsidR="00E52505" w:rsidRPr="00E52505">
              <w:t>glo</w:t>
            </w:r>
            <w:r>
              <w:t>bale</w:t>
            </w:r>
            <w:r w:rsidR="00E52505">
              <w:t xml:space="preserve"> medborgerskab for e</w:t>
            </w:r>
            <w:r w:rsidR="00E52505" w:rsidRPr="00E52505">
              <w:t xml:space="preserve">leverne i at kunne påtage sig en aktiv rolle i mødet med og løsningen af globale udfordringer samt at kunne bidrage aktivt til en mere fredelig, </w:t>
            </w:r>
            <w:r w:rsidR="00E52505">
              <w:t>tolerant og inkluderende verden</w:t>
            </w:r>
            <w:r>
              <w:t>. Verdensmålsskole</w:t>
            </w:r>
          </w:p>
        </w:tc>
      </w:tr>
    </w:tbl>
    <w:p w:rsidR="00260313" w:rsidRDefault="00260313"/>
    <w:sectPr w:rsidR="00260313" w:rsidSect="00D45A6D">
      <w:headerReference w:type="default" r:id="rId7"/>
      <w:pgSz w:w="16838" w:h="11906" w:orient="landscape"/>
      <w:pgMar w:top="1021" w:right="1418"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DFA" w:rsidRDefault="00E45DFA">
      <w:r>
        <w:separator/>
      </w:r>
    </w:p>
  </w:endnote>
  <w:endnote w:type="continuationSeparator" w:id="0">
    <w:p w:rsidR="00E45DFA" w:rsidRDefault="00E4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DFA" w:rsidRDefault="00E45DFA">
      <w:r>
        <w:separator/>
      </w:r>
    </w:p>
  </w:footnote>
  <w:footnote w:type="continuationSeparator" w:id="0">
    <w:p w:rsidR="00E45DFA" w:rsidRDefault="00E45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D00" w:rsidRDefault="00B661C0" w:rsidP="00A31D00">
    <w:pPr>
      <w:pStyle w:val="Sidehoved"/>
      <w:spacing w:after="240"/>
      <w:jc w:val="right"/>
    </w:pPr>
    <w:r>
      <w:rPr>
        <w:noProof/>
        <w:lang w:eastAsia="da-DK"/>
      </w:rPr>
      <w:drawing>
        <wp:inline distT="0" distB="0" distL="0" distR="0" wp14:anchorId="653ECD6D" wp14:editId="355BAD4F">
          <wp:extent cx="2159635" cy="233680"/>
          <wp:effectExtent l="0" t="0" r="0" b="0"/>
          <wp:docPr id="5" name="Billede 5"/>
          <wp:cNvGraphicFramePr/>
          <a:graphic xmlns:a="http://schemas.openxmlformats.org/drawingml/2006/main">
            <a:graphicData uri="http://schemas.openxmlformats.org/drawingml/2006/picture">
              <pic:pic xmlns:pic="http://schemas.openxmlformats.org/drawingml/2006/picture">
                <pic:nvPicPr>
                  <pic:cNvPr id="5" name="Billed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233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64D29"/>
    <w:multiLevelType w:val="hybridMultilevel"/>
    <w:tmpl w:val="CDD266A0"/>
    <w:lvl w:ilvl="0" w:tplc="8E6A0D2C">
      <w:start w:val="2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F6A22DA"/>
    <w:multiLevelType w:val="hybridMultilevel"/>
    <w:tmpl w:val="C1F8FF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3917463"/>
    <w:multiLevelType w:val="hybridMultilevel"/>
    <w:tmpl w:val="A25A03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B4F01A2"/>
    <w:multiLevelType w:val="hybridMultilevel"/>
    <w:tmpl w:val="FD3A4B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96"/>
    <w:rsid w:val="00132200"/>
    <w:rsid w:val="00144196"/>
    <w:rsid w:val="0015052A"/>
    <w:rsid w:val="001B45B0"/>
    <w:rsid w:val="001D60A2"/>
    <w:rsid w:val="00200491"/>
    <w:rsid w:val="00260313"/>
    <w:rsid w:val="008756EF"/>
    <w:rsid w:val="008E0B96"/>
    <w:rsid w:val="00A57116"/>
    <w:rsid w:val="00B661C0"/>
    <w:rsid w:val="00BB1DBC"/>
    <w:rsid w:val="00C63CAD"/>
    <w:rsid w:val="00CD34FC"/>
    <w:rsid w:val="00D658E5"/>
    <w:rsid w:val="00E45DFA"/>
    <w:rsid w:val="00E52505"/>
    <w:rsid w:val="00F21F23"/>
    <w:rsid w:val="00F62E01"/>
    <w:rsid w:val="00FF4A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3A09"/>
  <w15:chartTrackingRefBased/>
  <w15:docId w15:val="{2F7033D5-A437-4138-8BED-C21AF97D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196"/>
    <w:pPr>
      <w:spacing w:after="0" w:line="240"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144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144196"/>
    <w:pPr>
      <w:ind w:left="720"/>
      <w:contextualSpacing/>
    </w:pPr>
  </w:style>
  <w:style w:type="paragraph" w:styleId="Sidehoved">
    <w:name w:val="header"/>
    <w:basedOn w:val="Normal"/>
    <w:link w:val="SidehovedTegn"/>
    <w:uiPriority w:val="99"/>
    <w:unhideWhenUsed/>
    <w:rsid w:val="00144196"/>
    <w:pPr>
      <w:tabs>
        <w:tab w:val="center" w:pos="4819"/>
        <w:tab w:val="right" w:pos="9638"/>
      </w:tabs>
    </w:pPr>
  </w:style>
  <w:style w:type="character" w:customStyle="1" w:styleId="SidehovedTegn">
    <w:name w:val="Sidehoved Tegn"/>
    <w:basedOn w:val="Standardskrifttypeiafsnit"/>
    <w:link w:val="Sidehoved"/>
    <w:uiPriority w:val="99"/>
    <w:rsid w:val="00144196"/>
  </w:style>
  <w:style w:type="paragraph" w:customStyle="1" w:styleId="paragraph">
    <w:name w:val="paragraph"/>
    <w:basedOn w:val="Normal"/>
    <w:rsid w:val="00A57116"/>
    <w:pPr>
      <w:spacing w:before="100" w:beforeAutospacing="1" w:after="100" w:afterAutospacing="1"/>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A57116"/>
  </w:style>
  <w:style w:type="character" w:customStyle="1" w:styleId="eop">
    <w:name w:val="eop"/>
    <w:basedOn w:val="Standardskrifttypeiafsnit"/>
    <w:rsid w:val="00A57116"/>
  </w:style>
  <w:style w:type="paragraph" w:customStyle="1" w:styleId="Default">
    <w:name w:val="Default"/>
    <w:rsid w:val="001505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540234">
      <w:bodyDiv w:val="1"/>
      <w:marLeft w:val="0"/>
      <w:marRight w:val="0"/>
      <w:marTop w:val="0"/>
      <w:marBottom w:val="0"/>
      <w:divBdr>
        <w:top w:val="none" w:sz="0" w:space="0" w:color="auto"/>
        <w:left w:val="none" w:sz="0" w:space="0" w:color="auto"/>
        <w:bottom w:val="none" w:sz="0" w:space="0" w:color="auto"/>
        <w:right w:val="none" w:sz="0" w:space="0" w:color="auto"/>
      </w:divBdr>
      <w:divsChild>
        <w:div w:id="1352536881">
          <w:marLeft w:val="0"/>
          <w:marRight w:val="0"/>
          <w:marTop w:val="0"/>
          <w:marBottom w:val="0"/>
          <w:divBdr>
            <w:top w:val="none" w:sz="0" w:space="0" w:color="auto"/>
            <w:left w:val="none" w:sz="0" w:space="0" w:color="auto"/>
            <w:bottom w:val="none" w:sz="0" w:space="0" w:color="auto"/>
            <w:right w:val="none" w:sz="0" w:space="0" w:color="auto"/>
          </w:divBdr>
        </w:div>
        <w:div w:id="1393767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746</Words>
  <Characters>4554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Rye Larsen</dc:creator>
  <cp:keywords/>
  <dc:description/>
  <cp:lastModifiedBy>Gitte Rye Larsen</cp:lastModifiedBy>
  <cp:revision>10</cp:revision>
  <dcterms:created xsi:type="dcterms:W3CDTF">2020-01-21T12:42:00Z</dcterms:created>
  <dcterms:modified xsi:type="dcterms:W3CDTF">2020-01-22T09:12:00Z</dcterms:modified>
</cp:coreProperties>
</file>